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AB1511">
      <w:pPr>
        <w:pStyle w:val="2"/>
        <w:bidi w:val="0"/>
        <w:jc w:val="center"/>
        <w:rPr>
          <w:rFonts w:hint="eastAsia"/>
          <w:lang w:val="en-US" w:eastAsia="zh-CN"/>
        </w:rPr>
      </w:pPr>
      <w:bookmarkStart w:id="0" w:name="_Toc29076"/>
      <w:r>
        <w:rPr>
          <w:rFonts w:hint="eastAsia"/>
          <w:lang w:val="en-US" w:eastAsia="zh-CN"/>
        </w:rPr>
        <w:t>首充三日功能</w:t>
      </w:r>
      <w:bookmarkEnd w:id="0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796"/>
        <w:gridCol w:w="1330"/>
        <w:gridCol w:w="5580"/>
        <w:gridCol w:w="816"/>
      </w:tblGrid>
      <w:tr w14:paraId="798454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96" w:type="dxa"/>
            <w:tcBorders>
              <w:top w:val="single" w:color="4874CB" w:sz="12" w:space="0"/>
              <w:left w:val="nil"/>
              <w:bottom w:val="single" w:color="4874CB" w:sz="4" w:space="0"/>
              <w:right w:val="nil"/>
              <w:tl2br w:val="nil"/>
            </w:tcBorders>
            <w:shd w:val="clear" w:color="auto" w:fill="FFFFFF"/>
          </w:tcPr>
          <w:p w14:paraId="6B256696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编号</w:t>
            </w:r>
          </w:p>
        </w:tc>
        <w:tc>
          <w:tcPr>
            <w:tcW w:w="1330" w:type="dxa"/>
            <w:tcBorders>
              <w:top w:val="single" w:color="4874CB" w:sz="12" w:space="0"/>
              <w:left w:val="nil"/>
              <w:bottom w:val="single" w:color="4874CB" w:sz="4" w:space="0"/>
              <w:right w:val="nil"/>
            </w:tcBorders>
            <w:shd w:val="clear" w:color="auto" w:fill="FFFFFF"/>
          </w:tcPr>
          <w:p w14:paraId="008F73A9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日期</w:t>
            </w:r>
          </w:p>
        </w:tc>
        <w:tc>
          <w:tcPr>
            <w:tcW w:w="5580" w:type="dxa"/>
            <w:tcBorders>
              <w:top w:val="single" w:color="4874CB" w:sz="12" w:space="0"/>
              <w:left w:val="nil"/>
              <w:bottom w:val="single" w:color="4874CB" w:sz="4" w:space="0"/>
              <w:right w:val="nil"/>
            </w:tcBorders>
            <w:shd w:val="clear" w:color="auto" w:fill="FFFFFF"/>
          </w:tcPr>
          <w:p w14:paraId="552B0FD8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内容</w:t>
            </w:r>
          </w:p>
        </w:tc>
        <w:tc>
          <w:tcPr>
            <w:tcW w:w="816" w:type="dxa"/>
            <w:tcBorders>
              <w:top w:val="single" w:color="4874CB" w:sz="12" w:space="0"/>
              <w:left w:val="nil"/>
              <w:bottom w:val="single" w:color="4874CB" w:sz="4" w:space="0"/>
              <w:right w:val="nil"/>
            </w:tcBorders>
            <w:shd w:val="clear" w:color="auto" w:fill="FFFFFF"/>
          </w:tcPr>
          <w:p w14:paraId="04C0F355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作者</w:t>
            </w:r>
          </w:p>
        </w:tc>
      </w:tr>
      <w:tr w14:paraId="72D7FD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96" w:type="dxa"/>
            <w:tcBorders>
              <w:top w:val="single" w:color="4874CB" w:sz="4" w:space="0"/>
              <w:left w:val="nil"/>
              <w:bottom w:val="nil"/>
              <w:right w:val="nil"/>
            </w:tcBorders>
            <w:shd w:val="clear" w:color="auto" w:fill="FFFFFF"/>
          </w:tcPr>
          <w:p w14:paraId="7A6DD397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1.0</w:t>
            </w:r>
          </w:p>
        </w:tc>
        <w:tc>
          <w:tcPr>
            <w:tcW w:w="1330" w:type="dxa"/>
            <w:tcBorders>
              <w:top w:val="single" w:color="4874CB" w:sz="4" w:space="0"/>
              <w:left w:val="nil"/>
              <w:bottom w:val="nil"/>
              <w:right w:val="nil"/>
            </w:tcBorders>
            <w:shd w:val="clear" w:color="auto" w:fill="FFFFFF"/>
          </w:tcPr>
          <w:p w14:paraId="13375C44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2024/12/29</w:t>
            </w:r>
          </w:p>
        </w:tc>
        <w:tc>
          <w:tcPr>
            <w:tcW w:w="5580" w:type="dxa"/>
            <w:tcBorders>
              <w:top w:val="single" w:color="4874CB" w:sz="4" w:space="0"/>
              <w:left w:val="nil"/>
              <w:bottom w:val="nil"/>
              <w:right w:val="nil"/>
            </w:tcBorders>
            <w:shd w:val="clear" w:color="auto" w:fill="FFFFFF"/>
          </w:tcPr>
          <w:p w14:paraId="2FB0393A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设定首充三日活动的界面表现和操作逻辑</w:t>
            </w:r>
          </w:p>
        </w:tc>
        <w:tc>
          <w:tcPr>
            <w:tcW w:w="816" w:type="dxa"/>
            <w:tcBorders>
              <w:top w:val="single" w:color="4874CB" w:sz="4" w:space="0"/>
              <w:left w:val="nil"/>
              <w:bottom w:val="nil"/>
              <w:right w:val="nil"/>
            </w:tcBorders>
            <w:shd w:val="clear" w:color="auto" w:fill="FFFFFF"/>
          </w:tcPr>
          <w:p w14:paraId="107F3EDC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MC</w:t>
            </w:r>
          </w:p>
        </w:tc>
      </w:tr>
      <w:tr w14:paraId="7F8012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D2FE316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F13A224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8CCE431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0D1DBA3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</w:tr>
      <w:tr w14:paraId="26D94A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9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2CBE8E8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33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8C9A4E2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E539159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56B552E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</w:tr>
      <w:tr w14:paraId="3129CA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796" w:type="dxa"/>
            <w:tcBorders>
              <w:top w:val="nil"/>
              <w:left w:val="nil"/>
              <w:bottom w:val="single" w:color="4874CB" w:sz="12" w:space="0"/>
              <w:right w:val="nil"/>
            </w:tcBorders>
            <w:shd w:val="clear" w:color="auto" w:fill="FFFFFF"/>
          </w:tcPr>
          <w:p w14:paraId="3D6F01BB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330" w:type="dxa"/>
            <w:tcBorders>
              <w:top w:val="nil"/>
              <w:left w:val="nil"/>
              <w:bottom w:val="single" w:color="4874CB" w:sz="12" w:space="0"/>
              <w:right w:val="nil"/>
            </w:tcBorders>
            <w:shd w:val="clear" w:color="auto" w:fill="FFFFFF"/>
          </w:tcPr>
          <w:p w14:paraId="6F888391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5580" w:type="dxa"/>
            <w:tcBorders>
              <w:top w:val="nil"/>
              <w:left w:val="nil"/>
              <w:bottom w:val="single" w:color="4874CB" w:sz="12" w:space="0"/>
              <w:right w:val="nil"/>
            </w:tcBorders>
            <w:shd w:val="clear" w:color="auto" w:fill="FFFFFF"/>
          </w:tcPr>
          <w:p w14:paraId="63E2BE20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single" w:color="4874CB" w:sz="12" w:space="0"/>
              <w:right w:val="nil"/>
            </w:tcBorders>
            <w:shd w:val="clear" w:color="auto" w:fill="FFFFFF"/>
          </w:tcPr>
          <w:p w14:paraId="149C5B6C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</w:tr>
    </w:tbl>
    <w:p w14:paraId="322D80F5">
      <w:pPr>
        <w:pStyle w:val="7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TOC \o "1-4" \h \u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_Toc29076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首充三日功能</w:t>
      </w:r>
      <w:r>
        <w:tab/>
      </w:r>
      <w:r>
        <w:fldChar w:fldCharType="begin"/>
      </w:r>
      <w:r>
        <w:instrText xml:space="preserve"> PAGEREF _Toc29076 \h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43889B58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_Toc25924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一、 设计目的</w:t>
      </w:r>
      <w:r>
        <w:tab/>
      </w:r>
      <w:r>
        <w:fldChar w:fldCharType="begin"/>
      </w:r>
      <w:r>
        <w:instrText xml:space="preserve"> PAGEREF _Toc25924 \h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5EE0EF3C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_Toc19277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二、 系统概述</w:t>
      </w:r>
      <w:r>
        <w:tab/>
      </w:r>
      <w:r>
        <w:fldChar w:fldCharType="begin"/>
      </w:r>
      <w:r>
        <w:instrText xml:space="preserve"> PAGEREF _Toc19277 \h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486E9BC5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_Toc22490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三、 实现方式</w:t>
      </w:r>
      <w:r>
        <w:tab/>
      </w:r>
      <w:r>
        <w:fldChar w:fldCharType="begin"/>
      </w:r>
      <w:r>
        <w:instrText xml:space="preserve"> PAGEREF _Toc22490 \h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6183F37C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_Toc12391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 功能入口与主界面</w:t>
      </w:r>
      <w:r>
        <w:tab/>
      </w:r>
      <w:r>
        <w:fldChar w:fldCharType="begin"/>
      </w:r>
      <w:r>
        <w:instrText xml:space="preserve"> PAGEREF _Toc12391 \h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71AB5299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_Toc15759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3.1.1 首充成功之后的状态变化</w:t>
      </w:r>
      <w:r>
        <w:tab/>
      </w:r>
      <w:r>
        <w:fldChar w:fldCharType="begin"/>
      </w:r>
      <w:r>
        <w:instrText xml:space="preserve"> PAGEREF _Toc15759 \h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25128C3C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_Toc23899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 2日和3日奖励状态</w:t>
      </w:r>
      <w:r>
        <w:tab/>
      </w:r>
      <w:r>
        <w:fldChar w:fldCharType="begin"/>
      </w:r>
      <w:r>
        <w:instrText xml:space="preserve"> PAGEREF _Toc23899 \h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40A6E996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_Toc17696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 2日和3日可领取状态</w:t>
      </w:r>
      <w:r>
        <w:tab/>
      </w:r>
      <w:r>
        <w:fldChar w:fldCharType="begin"/>
      </w:r>
      <w:r>
        <w:instrText xml:space="preserve"> PAGEREF _Toc17696 \h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60BD566D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_Toc8582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 特殊状态定义</w:t>
      </w:r>
      <w:r>
        <w:tab/>
      </w:r>
      <w:r>
        <w:fldChar w:fldCharType="begin"/>
      </w:r>
      <w:r>
        <w:instrText xml:space="preserve"> PAGEREF _Toc8582 \h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5043BF21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_Toc21921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四、 流程图</w:t>
      </w:r>
      <w:r>
        <w:tab/>
      </w:r>
      <w:r>
        <w:fldChar w:fldCharType="begin"/>
      </w:r>
      <w:r>
        <w:instrText xml:space="preserve"> PAGEREF _Toc21921 \h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212645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end"/>
      </w:r>
    </w:p>
    <w:p w14:paraId="5F66B318">
      <w:pPr>
        <w:rPr>
          <w:rFonts w:hint="default"/>
          <w:lang w:val="en-US" w:eastAsia="zh-CN"/>
        </w:rPr>
      </w:pPr>
    </w:p>
    <w:p w14:paraId="1E05D915">
      <w:pPr>
        <w:rPr>
          <w:rFonts w:hint="default"/>
          <w:lang w:val="en-US" w:eastAsia="zh-CN"/>
        </w:rPr>
      </w:pPr>
    </w:p>
    <w:p w14:paraId="5164AF12">
      <w:pPr>
        <w:rPr>
          <w:rFonts w:hint="default"/>
          <w:lang w:val="en-US" w:eastAsia="zh-CN"/>
        </w:rPr>
      </w:pPr>
    </w:p>
    <w:p w14:paraId="1DB2AEFB">
      <w:pPr>
        <w:rPr>
          <w:rFonts w:hint="default"/>
          <w:lang w:val="en-US" w:eastAsia="zh-CN"/>
        </w:rPr>
      </w:pPr>
    </w:p>
    <w:p w14:paraId="4A0B2261">
      <w:pPr>
        <w:rPr>
          <w:rFonts w:hint="default"/>
          <w:lang w:val="en-US" w:eastAsia="zh-CN"/>
        </w:rPr>
      </w:pPr>
    </w:p>
    <w:p w14:paraId="4C2D0F74">
      <w:pPr>
        <w:rPr>
          <w:rFonts w:hint="default"/>
          <w:lang w:val="en-US" w:eastAsia="zh-CN"/>
        </w:rPr>
      </w:pPr>
    </w:p>
    <w:p w14:paraId="77F1195A">
      <w:pPr>
        <w:rPr>
          <w:rFonts w:hint="default"/>
          <w:lang w:val="en-US" w:eastAsia="zh-CN"/>
        </w:rPr>
      </w:pPr>
    </w:p>
    <w:p w14:paraId="7333BD11">
      <w:pPr>
        <w:rPr>
          <w:rFonts w:hint="default"/>
          <w:lang w:val="en-US" w:eastAsia="zh-CN"/>
        </w:rPr>
      </w:pPr>
    </w:p>
    <w:p w14:paraId="530A11BC">
      <w:pPr>
        <w:rPr>
          <w:rFonts w:hint="default"/>
          <w:lang w:val="en-US" w:eastAsia="zh-CN"/>
        </w:rPr>
      </w:pPr>
    </w:p>
    <w:p w14:paraId="319EA852">
      <w:pPr>
        <w:rPr>
          <w:rFonts w:hint="default"/>
          <w:lang w:val="en-US" w:eastAsia="zh-CN"/>
        </w:rPr>
      </w:pPr>
    </w:p>
    <w:p w14:paraId="49E099BD">
      <w:pPr>
        <w:rPr>
          <w:rFonts w:hint="default"/>
          <w:lang w:val="en-US" w:eastAsia="zh-CN"/>
        </w:rPr>
      </w:pPr>
    </w:p>
    <w:p w14:paraId="50CD814C">
      <w:pPr>
        <w:rPr>
          <w:rFonts w:hint="default"/>
          <w:lang w:val="en-US" w:eastAsia="zh-CN"/>
        </w:rPr>
      </w:pPr>
    </w:p>
    <w:p w14:paraId="28120A31">
      <w:pPr>
        <w:rPr>
          <w:rFonts w:hint="default"/>
          <w:lang w:val="en-US" w:eastAsia="zh-CN"/>
        </w:rPr>
      </w:pPr>
    </w:p>
    <w:p w14:paraId="0FC25889">
      <w:pPr>
        <w:rPr>
          <w:rFonts w:hint="default"/>
          <w:lang w:val="en-US" w:eastAsia="zh-CN"/>
        </w:rPr>
      </w:pPr>
    </w:p>
    <w:p w14:paraId="34A22974">
      <w:pPr>
        <w:rPr>
          <w:rFonts w:hint="default"/>
          <w:lang w:val="en-US" w:eastAsia="zh-CN"/>
        </w:rPr>
      </w:pPr>
    </w:p>
    <w:p w14:paraId="1BDDFB60">
      <w:pPr>
        <w:rPr>
          <w:rFonts w:hint="default"/>
          <w:lang w:val="en-US" w:eastAsia="zh-CN"/>
        </w:rPr>
      </w:pPr>
    </w:p>
    <w:p w14:paraId="6CA1D193">
      <w:pPr>
        <w:rPr>
          <w:rFonts w:hint="default"/>
          <w:lang w:val="en-US" w:eastAsia="zh-CN"/>
        </w:rPr>
      </w:pPr>
    </w:p>
    <w:p w14:paraId="4C0F6316">
      <w:pPr>
        <w:rPr>
          <w:rFonts w:hint="default"/>
          <w:lang w:val="en-US" w:eastAsia="zh-CN"/>
        </w:rPr>
      </w:pPr>
    </w:p>
    <w:p w14:paraId="2BD222BB">
      <w:pPr>
        <w:rPr>
          <w:rFonts w:hint="default"/>
          <w:lang w:val="en-US" w:eastAsia="zh-CN"/>
        </w:rPr>
      </w:pPr>
    </w:p>
    <w:p w14:paraId="46EE12F7">
      <w:pPr>
        <w:rPr>
          <w:rFonts w:hint="default"/>
          <w:lang w:val="en-US" w:eastAsia="zh-CN"/>
        </w:rPr>
      </w:pPr>
    </w:p>
    <w:p w14:paraId="43CEF09F">
      <w:pPr>
        <w:rPr>
          <w:rFonts w:hint="default"/>
          <w:lang w:val="en-US" w:eastAsia="zh-CN"/>
        </w:rPr>
      </w:pPr>
    </w:p>
    <w:p w14:paraId="3B731119">
      <w:pPr>
        <w:rPr>
          <w:rFonts w:hint="default"/>
          <w:lang w:val="en-US" w:eastAsia="zh-CN"/>
        </w:rPr>
      </w:pPr>
    </w:p>
    <w:p w14:paraId="6D84B463">
      <w:pPr>
        <w:rPr>
          <w:rFonts w:hint="default"/>
          <w:lang w:val="en-US" w:eastAsia="zh-CN"/>
        </w:rPr>
      </w:pPr>
    </w:p>
    <w:p w14:paraId="024C067D">
      <w:pPr>
        <w:rPr>
          <w:rFonts w:hint="default"/>
          <w:lang w:val="en-US" w:eastAsia="zh-CN"/>
        </w:rPr>
      </w:pPr>
    </w:p>
    <w:p w14:paraId="53C358A0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" w:name="_Toc25924"/>
      <w:r>
        <w:rPr>
          <w:rFonts w:hint="eastAsia"/>
          <w:lang w:val="en-US" w:eastAsia="zh-CN"/>
        </w:rPr>
        <w:t>设计目的</w:t>
      </w:r>
      <w:bookmarkEnd w:id="1"/>
    </w:p>
    <w:p w14:paraId="1E0628E3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增加游戏内的破冰付费功能模块，提升游戏的付费率。</w:t>
      </w:r>
    </w:p>
    <w:p w14:paraId="00A14976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增加多日免费领取、付费双倍领的模式，提升游戏的进阶付费。</w:t>
      </w:r>
    </w:p>
    <w:p w14:paraId="51A572AB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2" w:name="_Toc19277"/>
      <w:r>
        <w:rPr>
          <w:rFonts w:hint="eastAsia"/>
          <w:lang w:val="en-US" w:eastAsia="zh-CN"/>
        </w:rPr>
        <w:t>系统概述</w:t>
      </w:r>
      <w:bookmarkEnd w:id="2"/>
    </w:p>
    <w:p w14:paraId="45FFD82F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首充三日活动的功能入口位于主界面的顶部，点击之后可以打开首充活动的具体界面。</w:t>
      </w:r>
    </w:p>
    <w:p w14:paraId="122252EE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如果玩家没有进行首充的操作，那么该功能按钮将会常驻，除非玩家进行了首充，且领取了1~3日的所有奖励，那么按钮将会在玩家领取完最后一天奖励之后消失。</w:t>
      </w:r>
    </w:p>
    <w:p w14:paraId="6CDA0C3E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充三日活动的操作逻辑在于：玩家在第一日就可以看见1~3天的奖励内容，但只能从第一天开始领取，且第一天的领取条件为拉起支付并支付成功；第二天~第三天的奖励领取操作从玩家第一天奖励领取之后的次日0点~后日0点才能进行，且会提供两种操作方式：免费领取和付费双倍。</w:t>
      </w:r>
    </w:p>
    <w:p w14:paraId="56619D5B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首充三日活动中的付费行为均为直接拉起支付进行对应额度的充值，只有充值成功之后界面状态才会发生变化。</w:t>
      </w:r>
    </w:p>
    <w:p w14:paraId="330FA401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3" w:name="_Toc22490"/>
      <w:r>
        <w:rPr>
          <w:rFonts w:hint="eastAsia"/>
          <w:lang w:val="en-US" w:eastAsia="zh-CN"/>
        </w:rPr>
        <w:t>实现方式</w:t>
      </w:r>
      <w:bookmarkEnd w:id="3"/>
    </w:p>
    <w:p w14:paraId="63A7E5BD">
      <w:pPr>
        <w:pStyle w:val="4"/>
        <w:bidi w:val="0"/>
        <w:rPr>
          <w:rFonts w:hint="eastAsia"/>
          <w:lang w:val="en-US" w:eastAsia="zh-CN"/>
        </w:rPr>
      </w:pPr>
      <w:bookmarkStart w:id="4" w:name="_Toc12391"/>
      <w:r>
        <w:rPr>
          <w:rFonts w:hint="eastAsia"/>
          <w:lang w:val="en-US" w:eastAsia="zh-CN"/>
        </w:rPr>
        <w:t>3.1 功能入口与主界面</w:t>
      </w:r>
      <w:bookmarkEnd w:id="4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49ACEF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3F2E36B9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654300"/>
                  <wp:effectExtent l="0" t="0" r="3810" b="1270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5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E5D40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12DA291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如上图所示，点击主界面上方的“首充豪礼”按钮可以打开对应的功能界面，如下图所示。</w:t>
            </w:r>
          </w:p>
        </w:tc>
      </w:tr>
      <w:tr w14:paraId="7355F0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52015FCF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654300"/>
                  <wp:effectExtent l="0" t="0" r="3810" b="1270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5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EE05C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3C43E00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如上图所示，为首充豪礼的功能界面，界面内容定义如下：</w:t>
            </w:r>
          </w:p>
          <w:p w14:paraId="6CDDE3B8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界面标题：首充豪礼。</w:t>
            </w:r>
          </w:p>
          <w:p w14:paraId="6C665BB2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界面宣传语：用美术字整图来显示{一次付费，连领三天！}</w:t>
            </w:r>
          </w:p>
          <w:p w14:paraId="707EEB37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子页签：共分为三个{首日奖励，2日奖励，3日奖励}，如果玩家没有进行首充，则始终显示“首日奖励”，如果玩家成功进行了界面充值，则切换到“2日奖励”；同理，如果次日玩家登录领取了“2日奖励”，则切换到“3日奖励”。</w:t>
            </w:r>
          </w:p>
          <w:p w14:paraId="7E229B33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原价显示：用来展示当前商品的原价，字体中间要添加横线。</w:t>
            </w:r>
          </w:p>
          <w:p w14:paraId="58B79407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道具展示区域：最大支持5个道具展示位置即可，点击图标可以弹出道具详情页，可叠加的道具需要显示其数量。</w:t>
            </w:r>
          </w:p>
          <w:p w14:paraId="6BA71BD8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充值按钮：点击之后拉起支付页，支付失败则按钮状态不变；支付成功，则按钮消失，邮件附件发送首充奖励。</w:t>
            </w:r>
          </w:p>
        </w:tc>
      </w:tr>
    </w:tbl>
    <w:p w14:paraId="550DF69A">
      <w:pPr>
        <w:pStyle w:val="5"/>
        <w:bidi w:val="0"/>
        <w:rPr>
          <w:rFonts w:hint="eastAsia"/>
          <w:lang w:val="en-US" w:eastAsia="zh-CN"/>
        </w:rPr>
      </w:pPr>
      <w:bookmarkStart w:id="5" w:name="_Toc15759"/>
      <w:r>
        <w:rPr>
          <w:rFonts w:hint="eastAsia"/>
          <w:lang w:val="en-US" w:eastAsia="zh-CN"/>
        </w:rPr>
        <w:t>3.1.1 首充成功之后的状态变化</w:t>
      </w:r>
      <w:bookmarkEnd w:id="5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41D56E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4253CAD6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654300"/>
                  <wp:effectExtent l="0" t="0" r="3810" b="1270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5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54642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24787E48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如上图所示，如果玩家成功进行了支付，则返回游戏之后状态的变化有：</w:t>
            </w:r>
          </w:p>
          <w:p w14:paraId="4320F72B">
            <w:pPr>
              <w:numPr>
                <w:ilvl w:val="0"/>
                <w:numId w:val="5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通过邮件附件的方式发放首充的奖励道具，避免包裹问题导致的付费等待。邮件标题：首充豪礼奖励发放。</w:t>
            </w:r>
          </w:p>
          <w:p w14:paraId="11571FDF">
            <w:pPr>
              <w:numPr>
                <w:ilvl w:val="0"/>
                <w:numId w:val="5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界面上，原来的充值按钮变为纯文本显示：奖励已邮件发放。</w:t>
            </w:r>
          </w:p>
        </w:tc>
      </w:tr>
    </w:tbl>
    <w:p w14:paraId="5868719A">
      <w:pPr>
        <w:pStyle w:val="4"/>
        <w:bidi w:val="0"/>
        <w:rPr>
          <w:rFonts w:hint="default"/>
          <w:lang w:val="en-US" w:eastAsia="zh-CN"/>
        </w:rPr>
      </w:pPr>
      <w:bookmarkStart w:id="6" w:name="_Toc23899"/>
      <w:r>
        <w:rPr>
          <w:rFonts w:hint="eastAsia"/>
          <w:lang w:val="en-US" w:eastAsia="zh-CN"/>
        </w:rPr>
        <w:t>3.2 2日和3日奖励状态</w:t>
      </w:r>
      <w:bookmarkEnd w:id="6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3C0990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490332A0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654300"/>
                  <wp:effectExtent l="0" t="0" r="3810" b="1270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5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C21BB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703ECEA8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如上图所示，为玩家切换到“2日奖励”页签之后的界面显示状态：</w:t>
            </w:r>
          </w:p>
          <w:p w14:paraId="4A11CEFA">
            <w:pPr>
              <w:numPr>
                <w:ilvl w:val="0"/>
                <w:numId w:val="6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与首日不同的在于，界面的底部需要以文字显示“首日奖励获得后次日0点可领取”。</w:t>
            </w:r>
          </w:p>
          <w:p w14:paraId="3D81897B">
            <w:pPr>
              <w:numPr>
                <w:ilvl w:val="0"/>
                <w:numId w:val="6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处于该状态的条件为：</w:t>
            </w:r>
          </w:p>
          <w:p w14:paraId="08A73DB1">
            <w:pPr>
              <w:numPr>
                <w:ilvl w:val="0"/>
                <w:numId w:val="7"/>
              </w:numPr>
              <w:ind w:left="0" w:leftChars="0" w:firstLine="40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玩家没有进行首充</w:t>
            </w:r>
          </w:p>
          <w:p w14:paraId="3ED6A08D">
            <w:pPr>
              <w:numPr>
                <w:ilvl w:val="0"/>
                <w:numId w:val="7"/>
              </w:numPr>
              <w:ind w:left="0" w:leftChars="0" w:firstLine="40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玩家成功进行了首充，但还未到第二天的0点。</w:t>
            </w:r>
          </w:p>
        </w:tc>
      </w:tr>
      <w:tr w14:paraId="37E2BA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4888CBD0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654300"/>
                  <wp:effectExtent l="0" t="0" r="3810" b="1270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5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B4496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195FDA8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如上图所示，为切换到“3日奖励”页签之后的界面显示状态，逻辑与2日相同。</w:t>
            </w:r>
          </w:p>
        </w:tc>
      </w:tr>
    </w:tbl>
    <w:p w14:paraId="6D89E137">
      <w:pPr>
        <w:pStyle w:val="4"/>
        <w:bidi w:val="0"/>
        <w:rPr>
          <w:rFonts w:hint="default"/>
          <w:lang w:val="en-US" w:eastAsia="zh-CN"/>
        </w:rPr>
      </w:pPr>
      <w:bookmarkStart w:id="7" w:name="_Toc17696"/>
      <w:r>
        <w:rPr>
          <w:rFonts w:hint="eastAsia"/>
          <w:lang w:val="en-US" w:eastAsia="zh-CN"/>
        </w:rPr>
        <w:t>3.3 2日和3日可领取状态</w:t>
      </w:r>
      <w:bookmarkEnd w:id="7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3F1104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6DDB8A1E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654300"/>
                  <wp:effectExtent l="0" t="0" r="3810" b="1270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5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F1835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20D107E5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如上图所示，只有在玩家已经成功进行了充值获得奖励且第二天0点之后的情况下，2日奖励界面状态才会更新为上图状态：</w:t>
            </w:r>
          </w:p>
          <w:p w14:paraId="661F8CC2">
            <w:pPr>
              <w:numPr>
                <w:ilvl w:val="0"/>
                <w:numId w:val="8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底部切换为两个功能按钮：</w:t>
            </w:r>
          </w:p>
          <w:p w14:paraId="772ED640">
            <w:pPr>
              <w:numPr>
                <w:ilvl w:val="0"/>
                <w:numId w:val="9"/>
              </w:numPr>
              <w:ind w:left="0" w:leftChars="0" w:firstLine="40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免费领取：点击之后需要弹出二次确认提示框，详见下图所述，用来确保玩家放弃付费双倍的操作。</w:t>
            </w:r>
          </w:p>
          <w:p w14:paraId="38DD8108">
            <w:pPr>
              <w:numPr>
                <w:ilvl w:val="0"/>
                <w:numId w:val="9"/>
              </w:numPr>
              <w:ind w:left="0" w:leftChars="0" w:firstLine="40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充值双倍领：点击之后拉起支付，支付成功之后，将会邮件发放双倍的2日奖励。</w:t>
            </w:r>
          </w:p>
          <w:p w14:paraId="0A15A3D7">
            <w:pPr>
              <w:numPr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>特别说明：玩家成功首充之后的次日0点再打开“首充豪礼”功能界面时，默认打开的为“2日奖励”页签；3日奖励同理。</w:t>
            </w:r>
          </w:p>
        </w:tc>
      </w:tr>
      <w:tr w14:paraId="4EB1F9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3B9BD6A6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654300"/>
                  <wp:effectExtent l="0" t="0" r="3810" b="1270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5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37D6C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7E93FD5D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如上图所示，为点击“免费领取”按钮之后所弹出的二次确认提示框：</w:t>
            </w:r>
          </w:p>
          <w:p w14:paraId="15325250">
            <w:pPr>
              <w:numPr>
                <w:ilvl w:val="0"/>
                <w:numId w:val="10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弹框文字内容如图所示。</w:t>
            </w:r>
          </w:p>
          <w:p w14:paraId="2E24E244">
            <w:pPr>
              <w:numPr>
                <w:ilvl w:val="0"/>
                <w:numId w:val="10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点击“直接领取”，则直接邮件附件发放2日奖励。</w:t>
            </w:r>
          </w:p>
          <w:p w14:paraId="13FC5904">
            <w:pPr>
              <w:numPr>
                <w:ilvl w:val="0"/>
                <w:numId w:val="10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点击关闭按钮或者“我再想想”按钮，关闭当前提示框。</w:t>
            </w:r>
          </w:p>
        </w:tc>
      </w:tr>
    </w:tbl>
    <w:p w14:paraId="3CB86C69">
      <w:pPr>
        <w:rPr>
          <w:rFonts w:hint="eastAsia"/>
          <w:highlight w:val="red"/>
          <w:lang w:val="en-US" w:eastAsia="zh-CN"/>
        </w:rPr>
      </w:pPr>
      <w:r>
        <w:rPr>
          <w:rFonts w:hint="eastAsia"/>
          <w:highlight w:val="red"/>
          <w:lang w:val="en-US" w:eastAsia="zh-CN"/>
        </w:rPr>
        <w:t>同理：3日奖励的显示逻辑也同2日，但3日奖励领取之后的次日0点要将首充豪礼按钮整个隐掉。</w:t>
      </w:r>
    </w:p>
    <w:p w14:paraId="5367B0D7">
      <w:pPr>
        <w:pStyle w:val="4"/>
        <w:bidi w:val="0"/>
        <w:rPr>
          <w:rFonts w:hint="default"/>
          <w:highlight w:val="none"/>
          <w:lang w:val="en-US" w:eastAsia="zh-CN"/>
        </w:rPr>
      </w:pPr>
      <w:bookmarkStart w:id="8" w:name="_Toc8582"/>
      <w:r>
        <w:rPr>
          <w:rFonts w:hint="eastAsia"/>
          <w:lang w:val="en-US" w:eastAsia="zh-CN"/>
        </w:rPr>
        <w:t>3.4 特殊状态定义</w:t>
      </w:r>
      <w:bookmarkEnd w:id="8"/>
    </w:p>
    <w:p w14:paraId="0A8A096E">
      <w:pPr>
        <w:numPr>
          <w:ilvl w:val="0"/>
          <w:numId w:val="11"/>
        </w:numPr>
        <w:ind w:left="0" w:leftChars="0"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如果玩家2日奖励一直没有领取，那么就一直维持2日奖励的状态，直到玩家领取了2日奖励之后，次日0点才会将3日奖励的界面状态进行更新。</w:t>
      </w:r>
    </w:p>
    <w:p w14:paraId="7C08E064">
      <w:pPr>
        <w:numPr>
          <w:ilvl w:val="0"/>
          <w:numId w:val="11"/>
        </w:numPr>
        <w:ind w:left="0" w:leftChars="0"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如果玩家3日奖励一直没有领取，那么就让3日奖励的界面可领取状态一直延续，直到玩家领取了3日奖励之后，才再次日0点击，隐藏掉“首充豪礼”的功能按钮。</w:t>
      </w:r>
    </w:p>
    <w:p w14:paraId="70E24B7D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9" w:name="_Toc21921"/>
      <w:r>
        <w:rPr>
          <w:rFonts w:hint="eastAsia"/>
          <w:lang w:val="en-US" w:eastAsia="zh-CN"/>
        </w:rPr>
        <w:t>流程图</w:t>
      </w:r>
      <w:bookmarkEnd w:id="9"/>
    </w:p>
    <w:p w14:paraId="49B76E74">
      <w:pPr>
        <w:jc w:val="center"/>
        <w:rPr>
          <w:rFonts w:hint="default"/>
          <w:lang w:val="en-US" w:eastAsia="zh-CN"/>
        </w:rPr>
      </w:pPr>
      <w:bookmarkStart w:id="10" w:name="_GoBack"/>
      <w:r>
        <w:drawing>
          <wp:inline distT="0" distB="0" distL="114300" distR="114300">
            <wp:extent cx="1744980" cy="6291580"/>
            <wp:effectExtent l="0" t="0" r="762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629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AEB5BE"/>
    <w:multiLevelType w:val="singleLevel"/>
    <w:tmpl w:val="87AEB5B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9A51FF50"/>
    <w:multiLevelType w:val="singleLevel"/>
    <w:tmpl w:val="9A51FF5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A8C20881"/>
    <w:multiLevelType w:val="singleLevel"/>
    <w:tmpl w:val="A8C20881"/>
    <w:lvl w:ilvl="0" w:tentative="0">
      <w:start w:val="1"/>
      <w:numFmt w:val="chineseCounting"/>
      <w:suff w:val="nothing"/>
      <w:lvlText w:val="（%1）"/>
      <w:lvlJc w:val="left"/>
      <w:pPr>
        <w:ind w:left="0" w:firstLine="420"/>
      </w:pPr>
      <w:rPr>
        <w:rFonts w:hint="eastAsia"/>
      </w:rPr>
    </w:lvl>
  </w:abstractNum>
  <w:abstractNum w:abstractNumId="3">
    <w:nsid w:val="EF5D3B61"/>
    <w:multiLevelType w:val="singleLevel"/>
    <w:tmpl w:val="EF5D3B6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F7003100"/>
    <w:multiLevelType w:val="singleLevel"/>
    <w:tmpl w:val="F7003100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5">
    <w:nsid w:val="05EF7A63"/>
    <w:multiLevelType w:val="singleLevel"/>
    <w:tmpl w:val="05EF7A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09A6D14C"/>
    <w:multiLevelType w:val="singleLevel"/>
    <w:tmpl w:val="09A6D14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0A72C757"/>
    <w:multiLevelType w:val="singleLevel"/>
    <w:tmpl w:val="0A72C75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2524D95B"/>
    <w:multiLevelType w:val="singleLevel"/>
    <w:tmpl w:val="2524D95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">
    <w:nsid w:val="4C963AF6"/>
    <w:multiLevelType w:val="singleLevel"/>
    <w:tmpl w:val="4C963AF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0">
    <w:nsid w:val="7F8D2136"/>
    <w:multiLevelType w:val="singleLevel"/>
    <w:tmpl w:val="7F8D213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10"/>
  </w:num>
  <w:num w:numId="6">
    <w:abstractNumId w:val="7"/>
  </w:num>
  <w:num w:numId="7">
    <w:abstractNumId w:val="9"/>
  </w:num>
  <w:num w:numId="8">
    <w:abstractNumId w:val="6"/>
  </w:num>
  <w:num w:numId="9">
    <w:abstractNumId w:val="8"/>
  </w:num>
  <w:num w:numId="10">
    <w:abstractNumId w:val="3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950013"/>
    <w:rsid w:val="162119B2"/>
    <w:rsid w:val="171866BF"/>
    <w:rsid w:val="1FF92419"/>
    <w:rsid w:val="257326A2"/>
    <w:rsid w:val="2CB46CA1"/>
    <w:rsid w:val="30017359"/>
    <w:rsid w:val="36F6663C"/>
    <w:rsid w:val="38C315DF"/>
    <w:rsid w:val="3C7E0B96"/>
    <w:rsid w:val="43980257"/>
    <w:rsid w:val="51870AAC"/>
    <w:rsid w:val="5C794AD7"/>
    <w:rsid w:val="628D4009"/>
    <w:rsid w:val="63E71DE9"/>
    <w:rsid w:val="65B71508"/>
    <w:rsid w:val="6A6C443C"/>
    <w:rsid w:val="71841AFC"/>
    <w:rsid w:val="7520075C"/>
    <w:rsid w:val="760D72B6"/>
    <w:rsid w:val="7C9F6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toc 1"/>
    <w:basedOn w:val="1"/>
    <w:next w:val="1"/>
    <w:uiPriority w:val="0"/>
  </w:style>
  <w:style w:type="paragraph" w:styleId="8">
    <w:name w:val="toc 4"/>
    <w:basedOn w:val="1"/>
    <w:next w:val="1"/>
    <w:uiPriority w:val="0"/>
    <w:pPr>
      <w:ind w:left="1260" w:leftChars="600"/>
    </w:pPr>
  </w:style>
  <w:style w:type="paragraph" w:styleId="9">
    <w:name w:val="toc 2"/>
    <w:basedOn w:val="1"/>
    <w:next w:val="1"/>
    <w:uiPriority w:val="0"/>
    <w:pPr>
      <w:ind w:left="420" w:leftChars="200"/>
    </w:pPr>
  </w:style>
  <w:style w:type="table" w:styleId="11">
    <w:name w:val="Table Grid"/>
    <w:basedOn w:val="10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2024-12-30T01:37:34Z</dcterms:created>
  <dc:creator>Administrator</dc:creator>
  <cp:lastModifiedBy>企业用户_255442825</cp:lastModifiedBy>
  <dcterms:modified xsi:type="dcterms:W3CDTF">2024-12-30T04:14:30Z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eyJoZGlkIjoiODVjNDc4ODYzMDRhNzczNDcxYThjMzcwYzI4YjI2N2UiLCJ1c2VySWQiOiIxNTI3OTQyMzU2In0=</vt:lpwstr>
  </property>
  <property fmtid="{D5CDD505-2E9C-101B-9397-08002B2CF9AE}" pid="4" name="ICV">
    <vt:lpwstr>05F00232F32349BB911B8C11792BB79C_12</vt:lpwstr>
  </property>
</Properties>
</file>